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小标宋-GB13000" w:hAnsi="CESI小标宋-GB13000" w:eastAsia="CESI小标宋-GB13000" w:cs="CESI小标宋-GB13000"/>
          <w:spacing w:val="-20"/>
          <w:sz w:val="36"/>
          <w:szCs w:val="36"/>
          <w:lang w:val="en-US" w:eastAsia="zh-CN"/>
        </w:rPr>
      </w:pPr>
      <w:r>
        <w:rPr>
          <w:rFonts w:hint="eastAsia" w:ascii="CESI小标宋-GB13000" w:hAnsi="CESI小标宋-GB13000" w:eastAsia="CESI小标宋-GB13000" w:cs="CESI小标宋-GB13000"/>
          <w:spacing w:val="-20"/>
          <w:sz w:val="36"/>
          <w:szCs w:val="36"/>
          <w:highlight w:val="none"/>
          <w:lang w:eastAsia="zh-CN"/>
        </w:rPr>
        <w:t>四平市</w:t>
      </w:r>
      <w:r>
        <w:rPr>
          <w:rFonts w:hint="eastAsia" w:ascii="CESI小标宋-GB13000" w:hAnsi="CESI小标宋-GB13000" w:eastAsia="CESI小标宋-GB13000" w:cs="CESI小标宋-GB13000"/>
          <w:spacing w:val="-20"/>
          <w:sz w:val="36"/>
          <w:szCs w:val="36"/>
          <w:highlight w:val="none"/>
          <w:lang w:val="en-US" w:eastAsia="zh-CN"/>
        </w:rPr>
        <w:t>林业局</w:t>
      </w:r>
      <w:r>
        <w:rPr>
          <w:rFonts w:hint="eastAsia" w:ascii="CESI小标宋-GB13000" w:hAnsi="CESI小标宋-GB13000" w:eastAsia="CESI小标宋-GB13000" w:cs="CESI小标宋-GB13000"/>
          <w:spacing w:val="-20"/>
          <w:sz w:val="36"/>
          <w:szCs w:val="36"/>
          <w:highlight w:val="none"/>
          <w:lang w:eastAsia="zh-CN"/>
        </w:rPr>
        <w:t>关于报备</w:t>
      </w:r>
      <w:r>
        <w:rPr>
          <w:rFonts w:hint="default" w:ascii="CESI小标宋-GB13000" w:hAnsi="CESI小标宋-GB13000" w:eastAsia="CESI小标宋-GB13000" w:cs="CESI小标宋-GB13000"/>
          <w:spacing w:val="-20"/>
          <w:sz w:val="36"/>
          <w:szCs w:val="36"/>
          <w:highlight w:val="none"/>
          <w:lang w:eastAsia="zh-CN"/>
        </w:rPr>
        <w:t>第二轮省</w:t>
      </w:r>
      <w:r>
        <w:rPr>
          <w:rFonts w:hint="eastAsia" w:ascii="CESI小标宋-GB13000" w:hAnsi="CESI小标宋-GB13000" w:eastAsia="CESI小标宋-GB13000" w:cs="CESI小标宋-GB13000"/>
          <w:spacing w:val="-20"/>
          <w:sz w:val="36"/>
          <w:szCs w:val="36"/>
          <w:highlight w:val="none"/>
          <w:lang w:eastAsia="zh-CN"/>
        </w:rPr>
        <w:t>生态环境保护督察反馈意见整改</w:t>
      </w:r>
      <w:r>
        <w:rPr>
          <w:rFonts w:hint="default" w:ascii="CESI小标宋-GB13000" w:hAnsi="CESI小标宋-GB13000" w:eastAsia="CESI小标宋-GB13000" w:cs="CESI小标宋-GB13000"/>
          <w:spacing w:val="-20"/>
          <w:sz w:val="36"/>
          <w:szCs w:val="36"/>
          <w:highlight w:val="none"/>
          <w:lang w:eastAsia="zh-CN"/>
        </w:rPr>
        <w:t>任务（三）</w:t>
      </w:r>
      <w:r>
        <w:rPr>
          <w:rFonts w:hint="eastAsia" w:ascii="CESI小标宋-GB13000" w:hAnsi="CESI小标宋-GB13000" w:eastAsia="CESI小标宋-GB13000" w:cs="CESI小标宋-GB13000"/>
          <w:spacing w:val="-20"/>
          <w:sz w:val="36"/>
          <w:szCs w:val="36"/>
          <w:highlight w:val="none"/>
          <w:lang w:eastAsia="zh-CN"/>
        </w:rPr>
        <w:t>整</w:t>
      </w:r>
      <w:r>
        <w:rPr>
          <w:rFonts w:hint="eastAsia" w:ascii="CESI小标宋-GB13000" w:hAnsi="CESI小标宋-GB13000" w:eastAsia="CESI小标宋-GB13000" w:cs="CESI小标宋-GB13000"/>
          <w:sz w:val="36"/>
          <w:szCs w:val="36"/>
          <w:highlight w:val="none"/>
          <w:lang w:eastAsia="zh-CN"/>
        </w:rPr>
        <w:t>改情况</w:t>
      </w:r>
      <w:r>
        <w:rPr>
          <w:rFonts w:hint="eastAsia" w:ascii="CESI小标宋-GB13000" w:hAnsi="CESI小标宋-GB13000" w:eastAsia="CESI小标宋-GB13000" w:cs="CESI小标宋-GB13000"/>
          <w:spacing w:val="-20"/>
          <w:sz w:val="36"/>
          <w:szCs w:val="36"/>
          <w:highlight w:val="none"/>
          <w:lang w:eastAsia="zh-CN"/>
        </w:rPr>
        <w:t>销号公示表格</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945"/>
        <w:gridCol w:w="3195"/>
        <w:gridCol w:w="3842"/>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CESI仿宋-GB13000" w:hAnsi="CESI仿宋-GB13000" w:eastAsia="CESI仿宋-GB13000" w:cs="CESI仿宋-GB13000"/>
                <w:sz w:val="28"/>
                <w:szCs w:val="28"/>
                <w:vertAlign w:val="baseline"/>
                <w:lang w:eastAsia="zh-CN"/>
              </w:rPr>
            </w:pPr>
            <w:r>
              <w:rPr>
                <w:rFonts w:hint="eastAsia" w:ascii="CESI仿宋-GB13000" w:hAnsi="CESI仿宋-GB13000" w:eastAsia="CESI仿宋-GB13000" w:cs="CESI仿宋-GB13000"/>
                <w:sz w:val="28"/>
                <w:szCs w:val="28"/>
                <w:vertAlign w:val="baseline"/>
                <w:lang w:eastAsia="zh-CN"/>
              </w:rPr>
              <w:t>任务</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CESI仿宋-GB13000" w:hAnsi="CESI仿宋-GB13000" w:eastAsia="CESI仿宋-GB13000" w:cs="CESI仿宋-GB13000"/>
                <w:sz w:val="28"/>
                <w:szCs w:val="28"/>
                <w:vertAlign w:val="baseline"/>
                <w:lang w:val="en-US" w:eastAsia="zh-CN"/>
              </w:rPr>
            </w:pPr>
            <w:r>
              <w:rPr>
                <w:rFonts w:hint="eastAsia" w:ascii="CESI仿宋-GB13000" w:hAnsi="CESI仿宋-GB13000" w:eastAsia="CESI仿宋-GB13000" w:cs="CESI仿宋-GB13000"/>
                <w:sz w:val="28"/>
                <w:szCs w:val="28"/>
                <w:vertAlign w:val="baseline"/>
                <w:lang w:val="en-US" w:eastAsia="zh-CN"/>
              </w:rPr>
              <w:t>整改问题</w:t>
            </w: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CESI仿宋-GB13000" w:hAnsi="CESI仿宋-GB13000" w:eastAsia="CESI仿宋-GB13000" w:cs="CESI仿宋-GB13000"/>
                <w:sz w:val="28"/>
                <w:szCs w:val="28"/>
                <w:vertAlign w:val="baseline"/>
                <w:lang w:val="en-US" w:eastAsia="zh-CN"/>
              </w:rPr>
            </w:pPr>
            <w:r>
              <w:rPr>
                <w:rFonts w:hint="eastAsia" w:ascii="CESI仿宋-GB13000" w:hAnsi="CESI仿宋-GB13000" w:eastAsia="CESI仿宋-GB13000" w:cs="CESI仿宋-GB13000"/>
                <w:sz w:val="28"/>
                <w:szCs w:val="28"/>
                <w:vertAlign w:val="baseline"/>
                <w:lang w:val="en-US" w:eastAsia="zh-CN"/>
              </w:rPr>
              <w:t>整改目标</w:t>
            </w:r>
          </w:p>
        </w:tc>
        <w:tc>
          <w:tcPr>
            <w:tcW w:w="3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CESI仿宋-GB13000" w:hAnsi="CESI仿宋-GB13000" w:eastAsia="CESI仿宋-GB13000" w:cs="CESI仿宋-GB13000"/>
                <w:sz w:val="28"/>
                <w:szCs w:val="28"/>
                <w:vertAlign w:val="baseline"/>
                <w:lang w:val="en-US" w:eastAsia="zh-CN"/>
              </w:rPr>
            </w:pPr>
            <w:r>
              <w:rPr>
                <w:rFonts w:hint="eastAsia" w:ascii="CESI仿宋-GB13000" w:hAnsi="CESI仿宋-GB13000" w:eastAsia="CESI仿宋-GB13000" w:cs="CESI仿宋-GB13000"/>
                <w:sz w:val="28"/>
                <w:szCs w:val="28"/>
                <w:vertAlign w:val="baseline"/>
                <w:lang w:val="en-US" w:eastAsia="zh-CN"/>
              </w:rPr>
              <w:t>整改措施</w:t>
            </w:r>
          </w:p>
        </w:tc>
        <w:tc>
          <w:tcPr>
            <w:tcW w:w="37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CESI仿宋-GB13000" w:hAnsi="CESI仿宋-GB13000" w:eastAsia="CESI仿宋-GB13000" w:cs="CESI仿宋-GB13000"/>
                <w:sz w:val="28"/>
                <w:szCs w:val="28"/>
                <w:vertAlign w:val="baseline"/>
                <w:lang w:val="en-US" w:eastAsia="zh-CN"/>
              </w:rPr>
            </w:pPr>
            <w:r>
              <w:rPr>
                <w:rFonts w:hint="eastAsia" w:ascii="CESI仿宋-GB13000" w:hAnsi="CESI仿宋-GB13000" w:eastAsia="CESI仿宋-GB13000" w:cs="CESI仿宋-GB13000"/>
                <w:sz w:val="28"/>
                <w:szCs w:val="28"/>
                <w:vertAlign w:val="baseline"/>
                <w:lang w:val="en-US" w:eastAsia="zh-CN"/>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9" w:hRule="atLeast"/>
          <w:jc w:val="center"/>
        </w:trPr>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 w:hAnsi="仿宋" w:eastAsia="仿宋" w:cs="仿宋"/>
                <w:sz w:val="21"/>
                <w:szCs w:val="21"/>
                <w:vertAlign w:val="baseline"/>
                <w:lang w:eastAsia="zh-CN"/>
              </w:rPr>
            </w:pPr>
            <w:r>
              <w:rPr>
                <w:rFonts w:hint="default" w:ascii="CESI仿宋-GB13000" w:hAnsi="CESI仿宋-GB13000" w:eastAsia="CESI仿宋-GB13000" w:cs="CESI仿宋-GB13000"/>
                <w:sz w:val="21"/>
                <w:szCs w:val="21"/>
                <w:vertAlign w:val="baseline"/>
                <w:lang w:eastAsia="zh-CN"/>
              </w:rPr>
              <w:t>三</w:t>
            </w:r>
          </w:p>
        </w:tc>
        <w:tc>
          <w:tcPr>
            <w:tcW w:w="39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生态环境损害赔偿立案较少。生态环境部等部委联合印发的《生态环境损害赔偿管理规定》和《吉林省生态环境损害赔偿制度改革方案》，对生态环境损害赔偿案件线索筛查、索赔启动、损害调查、索赔磋商、赔偿诉讼、修复效果评估等重点工作环节作出了明确规定。2022年，省生态环境损害赔偿制度改革工作领导小组办公室向四平地区提供了三批48条生态环境损害赔偿案件线索清单，涉及林业、自然资源等领域线索较多。从生态环境部生态环境损害赔偿案件填报系统来看，四平地区仅立案2件，进展缓慢，与常态化落实生态环境损害赔偿制度的要求差距较大。</w:t>
            </w:r>
          </w:p>
          <w:p>
            <w:pPr>
              <w:widowControl/>
              <w:numPr>
                <w:ilvl w:val="0"/>
                <w:numId w:val="0"/>
              </w:numPr>
              <w:spacing w:line="240" w:lineRule="auto"/>
              <w:rPr>
                <w:rFonts w:hint="eastAsia" w:ascii="仿宋_GB2312" w:hAnsi="仿宋_GB2312" w:eastAsia="仿宋_GB2312" w:cs="仿宋_GB2312"/>
                <w:kern w:val="0"/>
                <w:sz w:val="21"/>
                <w:szCs w:val="21"/>
                <w:highlight w:val="none"/>
                <w:lang w:val="en-US" w:eastAsia="zh-CN"/>
              </w:rPr>
            </w:pPr>
          </w:p>
        </w:tc>
        <w:tc>
          <w:tcPr>
            <w:tcW w:w="319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363" w:firstLineChars="202"/>
              <w:jc w:val="both"/>
              <w:textAlignment w:val="auto"/>
              <w:rPr>
                <w:rFonts w:hint="eastAsia" w:ascii="CESI仿宋-GB13000" w:hAnsi="CESI仿宋-GB13000" w:eastAsia="CESI仿宋-GB13000" w:cs="CESI仿宋-GB13000"/>
                <w:sz w:val="18"/>
                <w:szCs w:val="18"/>
                <w:lang w:eastAsia="zh-CN"/>
              </w:rPr>
            </w:pPr>
            <w:r>
              <w:rPr>
                <w:rFonts w:hint="eastAsia" w:ascii="CESI仿宋-GB13000" w:hAnsi="CESI仿宋-GB13000" w:eastAsia="CESI仿宋-GB13000" w:cs="CESI仿宋-GB13000"/>
                <w:sz w:val="18"/>
                <w:szCs w:val="18"/>
                <w:lang w:eastAsia="zh-CN"/>
              </w:rPr>
              <w:t>落实生态环境损害赔偿制度，做到应立尽立，应赔尽赔。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default" w:ascii="仿宋" w:hAnsi="仿宋" w:eastAsia="仿宋" w:cs="仿宋"/>
                <w:sz w:val="21"/>
                <w:szCs w:val="21"/>
                <w:vertAlign w:val="baseline"/>
                <w:lang w:eastAsia="zh-CN"/>
              </w:rPr>
            </w:pPr>
          </w:p>
        </w:tc>
        <w:tc>
          <w:tcPr>
            <w:tcW w:w="38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363" w:firstLineChars="202"/>
              <w:jc w:val="both"/>
              <w:textAlignment w:val="auto"/>
              <w:rPr>
                <w:rFonts w:hint="eastAsia" w:ascii="CESI仿宋-GB13000" w:hAnsi="CESI仿宋-GB13000" w:eastAsia="CESI仿宋-GB13000" w:cs="CESI仿宋-GB13000"/>
                <w:sz w:val="18"/>
                <w:szCs w:val="18"/>
                <w:lang w:val="en-US" w:eastAsia="zh-CN"/>
              </w:rPr>
            </w:pPr>
            <w:r>
              <w:rPr>
                <w:rFonts w:hint="eastAsia" w:ascii="CESI仿宋-GB13000" w:hAnsi="CESI仿宋-GB13000" w:eastAsia="CESI仿宋-GB13000" w:cs="CESI仿宋-GB13000"/>
                <w:sz w:val="18"/>
                <w:szCs w:val="18"/>
                <w:lang w:val="en-US" w:eastAsia="zh-CN"/>
              </w:rPr>
              <w:t>提高办案水平，加强案件办理的时效性，对涉林案件线索及时进行案件核查，做到及时立案，按时办结，应立尽立、应赔尽赔。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1"/>
                <w:szCs w:val="21"/>
                <w:vertAlign w:val="baseline"/>
                <w:lang w:val="en-US" w:eastAsia="zh-CN"/>
              </w:rPr>
            </w:pPr>
          </w:p>
        </w:tc>
        <w:tc>
          <w:tcPr>
            <w:tcW w:w="370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left"/>
              <w:textAlignment w:val="auto"/>
              <w:outlineLvl w:val="9"/>
              <w:rPr>
                <w:rFonts w:hint="default"/>
                <w:lang w:val="en-US" w:eastAsia="zh-CN"/>
              </w:rPr>
            </w:pPr>
            <w:r>
              <w:rPr>
                <w:rFonts w:hint="default" w:ascii="CESI仿宋-GB13000" w:hAnsi="CESI仿宋-GB13000" w:eastAsia="CESI仿宋-GB13000" w:cs="CESI仿宋-GB13000"/>
                <w:sz w:val="18"/>
                <w:szCs w:val="18"/>
                <w:lang w:eastAsia="zh-CN"/>
              </w:rPr>
              <w:t>开展执法培训，加强执法人员办案能力，完成48条案件线索中涉林案件的核查，并按照要求开展生态损害赔偿，做到</w:t>
            </w:r>
            <w:r>
              <w:rPr>
                <w:rFonts w:hint="eastAsia" w:ascii="CESI仿宋-GB13000" w:hAnsi="CESI仿宋-GB13000" w:eastAsia="CESI仿宋-GB13000" w:cs="CESI仿宋-GB13000"/>
                <w:sz w:val="18"/>
                <w:szCs w:val="18"/>
                <w:lang w:val="en-US" w:eastAsia="zh-CN"/>
              </w:rPr>
              <w:t>应立尽立、应赔尽赔</w:t>
            </w:r>
            <w:r>
              <w:rPr>
                <w:rFonts w:hint="default" w:ascii="CESI仿宋-GB13000" w:hAnsi="CESI仿宋-GB13000" w:eastAsia="CESI仿宋-GB13000" w:cs="CESI仿宋-GB13000"/>
                <w:sz w:val="18"/>
                <w:szCs w:val="18"/>
                <w:lang w:eastAsia="zh-CN"/>
              </w:rPr>
              <w:t>。</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仿宋">
    <w:altName w:val="Droid Sans Fallback"/>
    <w:panose1 w:val="02010609060101010101"/>
    <w:charset w:val="00"/>
    <w:family w:val="modern"/>
    <w:pitch w:val="default"/>
    <w:sig w:usb0="00000000" w:usb1="00000000" w:usb2="00000016" w:usb3="00000000" w:csb0="00040001" w:csb1="00000000"/>
  </w:font>
  <w:font w:name="仿宋_GB2312">
    <w:altName w:val="文泉驿微米黑"/>
    <w:panose1 w:val="02010609030101010101"/>
    <w:charset w:val="00"/>
    <w:family w:val="modern"/>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7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cp:lastModifiedBy>
  <dcterms:modified xsi:type="dcterms:W3CDTF">2023-06-28T16:26:47Z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